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sz w:val="24"/>
          <w:szCs w:val="24"/>
        </w:rPr>
      </w:pPr>
      <w:r>
        <w:rPr>
          <w:rFonts w:ascii="宋体" w:hAnsi="宋体" w:eastAsia="宋体" w:cs="宋体"/>
          <w:sz w:val="24"/>
          <w:szCs w:val="24"/>
        </w:rPr>
        <w:t>采购需求</w:t>
      </w:r>
    </w:p>
    <w:p>
      <w:pPr>
        <w:jc w:val="center"/>
        <w:rPr>
          <w:rFonts w:ascii="宋体" w:hAnsi="宋体" w:eastAsia="宋体" w:cs="宋体"/>
          <w:sz w:val="24"/>
          <w:szCs w:val="24"/>
        </w:rPr>
      </w:pPr>
    </w:p>
    <w:p>
      <w:pPr>
        <w:rPr>
          <w:rFonts w:ascii="宋体" w:hAnsi="宋体" w:eastAsia="宋体" w:cs="宋体"/>
          <w:sz w:val="24"/>
          <w:szCs w:val="24"/>
        </w:rPr>
      </w:pPr>
      <w:r>
        <w:rPr>
          <w:rFonts w:ascii="宋体" w:hAnsi="宋体" w:eastAsia="宋体" w:cs="宋体"/>
          <w:sz w:val="24"/>
          <w:szCs w:val="24"/>
        </w:rPr>
        <w:t xml:space="preserve">一、项目概况： </w:t>
      </w:r>
    </w:p>
    <w:p>
      <w:pPr>
        <w:rPr>
          <w:rFonts w:ascii="宋体" w:hAnsi="宋体" w:eastAsia="宋体" w:cs="宋体"/>
          <w:sz w:val="24"/>
          <w:szCs w:val="24"/>
        </w:rPr>
      </w:pPr>
      <w:r>
        <w:rPr>
          <w:rFonts w:ascii="宋体" w:hAnsi="宋体" w:eastAsia="宋体" w:cs="宋体"/>
          <w:sz w:val="24"/>
          <w:szCs w:val="24"/>
        </w:rPr>
        <w:t>（一）本着公开、公平、公正的原则，现就南沙区横沥镇人民政府采购网格巡查等辅助性外包服务，以公开招标的方式，选出一家有资质、有经济实力、诚信度高、管理严格的服务外包公司，为广州市南沙区横沥镇人民政府提供相关服务工作。</w:t>
      </w:r>
    </w:p>
    <w:p>
      <w:pPr>
        <w:rPr>
          <w:rFonts w:ascii="宋体" w:hAnsi="宋体" w:eastAsia="宋体" w:cs="宋体"/>
          <w:sz w:val="24"/>
          <w:szCs w:val="24"/>
        </w:rPr>
      </w:pPr>
      <w:r>
        <w:rPr>
          <w:rFonts w:ascii="宋体" w:hAnsi="宋体" w:eastAsia="宋体" w:cs="宋体"/>
          <w:sz w:val="24"/>
          <w:szCs w:val="24"/>
        </w:rPr>
        <w:t>（二）预算金额：最高限价：¥21324000元。</w:t>
      </w:r>
    </w:p>
    <w:p>
      <w:pPr>
        <w:rPr>
          <w:rFonts w:ascii="宋体" w:hAnsi="宋体" w:eastAsia="宋体" w:cs="宋体"/>
          <w:sz w:val="24"/>
          <w:szCs w:val="24"/>
        </w:rPr>
      </w:pPr>
      <w:r>
        <w:rPr>
          <w:rFonts w:ascii="宋体" w:hAnsi="宋体" w:eastAsia="宋体" w:cs="宋体"/>
          <w:sz w:val="24"/>
          <w:szCs w:val="24"/>
        </w:rPr>
        <w:t>（三）服务期限：2022年7月1日-2025年6月30日，合同一年一签。</w:t>
      </w:r>
    </w:p>
    <w:p>
      <w:pPr>
        <w:rPr>
          <w:rFonts w:ascii="宋体" w:hAnsi="宋体" w:eastAsia="宋体" w:cs="宋体"/>
          <w:sz w:val="24"/>
          <w:szCs w:val="24"/>
        </w:rPr>
      </w:pPr>
      <w:r>
        <w:rPr>
          <w:rFonts w:ascii="宋体" w:hAnsi="宋体" w:eastAsia="宋体" w:cs="宋体"/>
          <w:sz w:val="24"/>
          <w:szCs w:val="24"/>
        </w:rPr>
        <w:t>（四）本项目报价采用总价包干的方式，凡超过最高限价的投标报价均视为无效投标，投标人的报价应包括本项目须承担的一切相关费用。如果投标人在成交并签署合同后，或在管理期限内出现的任何遗漏，均由中标人负责，采购人不再支付任何费用。投标人应充分了解本项目的实际及任何其它足以影响投标报价的情况，充分考虑到投标报价的风险。</w:t>
      </w:r>
    </w:p>
    <w:p>
      <w:pPr>
        <w:rPr>
          <w:rFonts w:ascii="宋体" w:hAnsi="宋体" w:eastAsia="宋体" w:cs="宋体"/>
          <w:sz w:val="24"/>
          <w:szCs w:val="24"/>
        </w:rPr>
      </w:pPr>
      <w:r>
        <w:rPr>
          <w:rFonts w:ascii="宋体" w:hAnsi="宋体" w:eastAsia="宋体" w:cs="宋体"/>
          <w:sz w:val="24"/>
          <w:szCs w:val="24"/>
        </w:rPr>
        <w:t>（五）投标人须对本项目服务进行整体响应，任何只对其中一部分内容进行的响应都被视为无效投标。</w:t>
      </w:r>
    </w:p>
    <w:p>
      <w:pPr>
        <w:rPr>
          <w:rFonts w:ascii="宋体" w:hAnsi="宋体" w:eastAsia="宋体" w:cs="宋体"/>
          <w:sz w:val="24"/>
          <w:szCs w:val="24"/>
        </w:rPr>
      </w:pPr>
      <w:r>
        <w:rPr>
          <w:rFonts w:ascii="宋体" w:hAnsi="宋体" w:eastAsia="宋体" w:cs="宋体"/>
          <w:sz w:val="24"/>
          <w:szCs w:val="24"/>
        </w:rPr>
        <w:t>(六) 根据《广州市财政局关于进一步促进政府采购公平竞争优化营商环境的通知》相关规定，为保证项目的顺利履约和采购质量，坚决杜绝供应商以牺牲质量为前提的低价竞争。投标人的报价如明显低于其他通过符合性审查的投标人报价，有可能影响项目质量或者不能诚信履约的，投标人须提供相关的书面说明，必要时提交相关的证明材料。投标人不能证明其报价的合理性，评标委员会将作为无效投标处理。</w:t>
      </w:r>
    </w:p>
    <w:p>
      <w:pPr>
        <w:rPr>
          <w:rFonts w:ascii="宋体" w:hAnsi="宋体" w:eastAsia="宋体" w:cs="宋体"/>
          <w:sz w:val="24"/>
          <w:szCs w:val="24"/>
        </w:rPr>
      </w:pPr>
    </w:p>
    <w:p>
      <w:pPr>
        <w:rPr>
          <w:rFonts w:ascii="宋体" w:hAnsi="宋体" w:eastAsia="宋体" w:cs="宋体"/>
          <w:sz w:val="24"/>
          <w:szCs w:val="24"/>
        </w:rPr>
      </w:pPr>
      <w:r>
        <w:rPr>
          <w:rFonts w:ascii="宋体" w:hAnsi="宋体" w:eastAsia="宋体" w:cs="宋体"/>
          <w:sz w:val="24"/>
          <w:szCs w:val="24"/>
        </w:rPr>
        <w:t>采购包1（南沙区横沥镇人民政府采购网格巡查等辅助性外包服务）：</w:t>
      </w:r>
    </w:p>
    <w:p>
      <w:pPr>
        <w:rPr>
          <w:rFonts w:ascii="宋体" w:hAnsi="宋体" w:eastAsia="宋体" w:cs="宋体"/>
          <w:sz w:val="24"/>
          <w:szCs w:val="24"/>
        </w:rPr>
      </w:pPr>
    </w:p>
    <w:p>
      <w:pPr>
        <w:rPr>
          <w:rFonts w:ascii="宋体" w:hAnsi="宋体" w:eastAsia="宋体" w:cs="宋体"/>
          <w:sz w:val="24"/>
          <w:szCs w:val="24"/>
        </w:rPr>
      </w:pPr>
      <w:r>
        <w:rPr>
          <w:rFonts w:ascii="宋体" w:hAnsi="宋体" w:eastAsia="宋体" w:cs="宋体"/>
          <w:sz w:val="24"/>
          <w:szCs w:val="24"/>
        </w:rPr>
        <w:t>1.主要商务要求</w:t>
      </w:r>
    </w:p>
    <w:p>
      <w:pPr>
        <w:rPr>
          <w:rFonts w:ascii="宋体" w:hAnsi="宋体" w:eastAsia="宋体" w:cs="宋体"/>
          <w:sz w:val="24"/>
          <w:szCs w:val="2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rFonts w:ascii="宋体" w:hAnsi="宋体" w:eastAsia="宋体" w:cs="宋体"/>
                <w:sz w:val="24"/>
                <w:szCs w:val="24"/>
                <w:vertAlign w:val="baseline"/>
              </w:rPr>
            </w:pPr>
            <w:r>
              <w:rPr>
                <w:rFonts w:ascii="宋体" w:hAnsi="宋体" w:eastAsia="宋体" w:cs="宋体"/>
                <w:sz w:val="24"/>
                <w:szCs w:val="24"/>
              </w:rPr>
              <w:t>标的提供的时间</w:t>
            </w:r>
          </w:p>
        </w:tc>
        <w:tc>
          <w:tcPr>
            <w:tcW w:w="4261" w:type="dxa"/>
          </w:tcPr>
          <w:p>
            <w:pPr>
              <w:rPr>
                <w:rFonts w:ascii="宋体" w:hAnsi="宋体" w:eastAsia="宋体" w:cs="宋体"/>
                <w:sz w:val="24"/>
                <w:szCs w:val="24"/>
                <w:vertAlign w:val="baseline"/>
              </w:rPr>
            </w:pPr>
            <w:r>
              <w:rPr>
                <w:rFonts w:ascii="宋体" w:hAnsi="宋体" w:eastAsia="宋体" w:cs="宋体"/>
                <w:sz w:val="24"/>
                <w:szCs w:val="24"/>
              </w:rPr>
              <w:t>2022年7月1日-2025年6月30日，合同一年一签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rFonts w:ascii="宋体" w:hAnsi="宋体" w:eastAsia="宋体" w:cs="宋体"/>
                <w:sz w:val="24"/>
                <w:szCs w:val="24"/>
                <w:vertAlign w:val="baseline"/>
              </w:rPr>
            </w:pPr>
            <w:r>
              <w:rPr>
                <w:rFonts w:ascii="宋体" w:hAnsi="宋体" w:eastAsia="宋体" w:cs="宋体"/>
                <w:sz w:val="24"/>
                <w:szCs w:val="24"/>
              </w:rPr>
              <w:t>标的提供的地点</w:t>
            </w:r>
          </w:p>
        </w:tc>
        <w:tc>
          <w:tcPr>
            <w:tcW w:w="4261" w:type="dxa"/>
          </w:tcPr>
          <w:p>
            <w:pPr>
              <w:rPr>
                <w:rFonts w:ascii="宋体" w:hAnsi="宋体" w:eastAsia="宋体" w:cs="宋体"/>
                <w:sz w:val="24"/>
                <w:szCs w:val="24"/>
                <w:vertAlign w:val="baseline"/>
              </w:rPr>
            </w:pPr>
            <w:r>
              <w:rPr>
                <w:rFonts w:ascii="宋体" w:hAnsi="宋体" w:eastAsia="宋体" w:cs="宋体"/>
                <w:sz w:val="24"/>
                <w:szCs w:val="24"/>
              </w:rPr>
              <w:t>广州市南沙区横沥镇全镇辖区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rFonts w:ascii="宋体" w:hAnsi="宋体" w:eastAsia="宋体" w:cs="宋体"/>
                <w:sz w:val="24"/>
                <w:szCs w:val="24"/>
                <w:vertAlign w:val="baseline"/>
              </w:rPr>
            </w:pPr>
            <w:r>
              <w:rPr>
                <w:rFonts w:ascii="宋体" w:hAnsi="宋体" w:eastAsia="宋体" w:cs="宋体"/>
                <w:sz w:val="24"/>
                <w:szCs w:val="24"/>
              </w:rPr>
              <w:t>投标有效期</w:t>
            </w:r>
          </w:p>
        </w:tc>
        <w:tc>
          <w:tcPr>
            <w:tcW w:w="4261" w:type="dxa"/>
          </w:tcPr>
          <w:p>
            <w:pPr>
              <w:rPr>
                <w:rFonts w:ascii="宋体" w:hAnsi="宋体" w:eastAsia="宋体" w:cs="宋体"/>
                <w:sz w:val="24"/>
                <w:szCs w:val="24"/>
                <w:vertAlign w:val="baseline"/>
              </w:rPr>
            </w:pPr>
            <w:r>
              <w:rPr>
                <w:rFonts w:ascii="宋体" w:hAnsi="宋体" w:eastAsia="宋体" w:cs="宋体"/>
                <w:sz w:val="24"/>
                <w:szCs w:val="24"/>
              </w:rPr>
              <w:t>从提交投标（响应）文件的截止之日起90日历天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rFonts w:ascii="宋体" w:hAnsi="宋体" w:eastAsia="宋体" w:cs="宋体"/>
                <w:sz w:val="24"/>
                <w:szCs w:val="24"/>
                <w:vertAlign w:val="baseline"/>
              </w:rPr>
            </w:pPr>
            <w:r>
              <w:rPr>
                <w:rFonts w:ascii="宋体" w:hAnsi="宋体" w:eastAsia="宋体" w:cs="宋体"/>
                <w:sz w:val="24"/>
                <w:szCs w:val="24"/>
              </w:rPr>
              <w:t>付款方式</w:t>
            </w:r>
          </w:p>
        </w:tc>
        <w:tc>
          <w:tcPr>
            <w:tcW w:w="4261" w:type="dxa"/>
          </w:tcPr>
          <w:p>
            <w:pPr>
              <w:rPr>
                <w:rFonts w:ascii="宋体" w:hAnsi="宋体" w:eastAsia="宋体" w:cs="宋体"/>
                <w:sz w:val="24"/>
                <w:szCs w:val="24"/>
                <w:vertAlign w:val="baseline"/>
              </w:rPr>
            </w:pPr>
            <w:r>
              <w:rPr>
                <w:rFonts w:ascii="宋体" w:hAnsi="宋体" w:eastAsia="宋体" w:cs="宋体"/>
                <w:sz w:val="24"/>
                <w:szCs w:val="24"/>
              </w:rPr>
              <w:t>1期：支付比例100%，按季度结算，采购人按期支付服务费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rFonts w:ascii="宋体" w:hAnsi="宋体" w:eastAsia="宋体" w:cs="宋体"/>
                <w:sz w:val="24"/>
                <w:szCs w:val="24"/>
                <w:vertAlign w:val="baseline"/>
              </w:rPr>
            </w:pPr>
            <w:r>
              <w:rPr>
                <w:rFonts w:ascii="宋体" w:hAnsi="宋体" w:eastAsia="宋体" w:cs="宋体"/>
                <w:sz w:val="24"/>
                <w:szCs w:val="24"/>
              </w:rPr>
              <w:t>验收要求</w:t>
            </w:r>
          </w:p>
        </w:tc>
        <w:tc>
          <w:tcPr>
            <w:tcW w:w="4261" w:type="dxa"/>
          </w:tcPr>
          <w:p>
            <w:pPr>
              <w:rPr>
                <w:rFonts w:ascii="宋体" w:hAnsi="宋体" w:eastAsia="宋体" w:cs="宋体"/>
                <w:sz w:val="24"/>
                <w:szCs w:val="24"/>
                <w:vertAlign w:val="baseline"/>
              </w:rPr>
            </w:pPr>
            <w:r>
              <w:rPr>
                <w:rFonts w:ascii="宋体" w:hAnsi="宋体" w:eastAsia="宋体" w:cs="宋体"/>
                <w:sz w:val="24"/>
                <w:szCs w:val="24"/>
              </w:rPr>
              <w:t>1期：要求每个基础网格每月完成入格事项不少于66件，来穗人员身份证刷证率不低于70%、二维码巡查率不低于 95%；开展网格化服务管理工作宣传，全年网格内群众知晓率达90%以上， 开展各类融合课堂，推进来穗人员融合服务高质量发展。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rFonts w:ascii="宋体" w:hAnsi="宋体" w:eastAsia="宋体" w:cs="宋体"/>
                <w:sz w:val="24"/>
                <w:szCs w:val="24"/>
                <w:vertAlign w:val="baseline"/>
              </w:rPr>
            </w:pPr>
            <w:r>
              <w:rPr>
                <w:rFonts w:ascii="宋体" w:hAnsi="宋体" w:eastAsia="宋体" w:cs="宋体"/>
                <w:sz w:val="24"/>
                <w:szCs w:val="24"/>
              </w:rPr>
              <w:t>履约保证金</w:t>
            </w:r>
          </w:p>
        </w:tc>
        <w:tc>
          <w:tcPr>
            <w:tcW w:w="4261" w:type="dxa"/>
          </w:tcPr>
          <w:p>
            <w:pPr>
              <w:rPr>
                <w:rFonts w:ascii="宋体" w:hAnsi="宋体" w:eastAsia="宋体" w:cs="宋体"/>
                <w:sz w:val="24"/>
                <w:szCs w:val="24"/>
                <w:vertAlign w:val="baseline"/>
              </w:rPr>
            </w:pPr>
            <w:r>
              <w:rPr>
                <w:rFonts w:ascii="宋体" w:hAnsi="宋体" w:eastAsia="宋体" w:cs="宋体"/>
                <w:sz w:val="24"/>
                <w:szCs w:val="24"/>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rPr>
                <w:rFonts w:ascii="宋体" w:hAnsi="宋体" w:eastAsia="宋体" w:cs="宋体"/>
                <w:sz w:val="24"/>
                <w:szCs w:val="24"/>
                <w:vertAlign w:val="baseline"/>
              </w:rPr>
            </w:pPr>
            <w:r>
              <w:rPr>
                <w:rFonts w:ascii="宋体" w:hAnsi="宋体" w:eastAsia="宋体" w:cs="宋体"/>
                <w:sz w:val="24"/>
                <w:szCs w:val="24"/>
              </w:rPr>
              <w:t>其他</w:t>
            </w:r>
          </w:p>
        </w:tc>
        <w:tc>
          <w:tcPr>
            <w:tcW w:w="4261" w:type="dxa"/>
          </w:tcPr>
          <w:p>
            <w:pPr>
              <w:rPr>
                <w:rFonts w:ascii="宋体" w:hAnsi="宋体" w:eastAsia="宋体" w:cs="宋体"/>
                <w:sz w:val="24"/>
                <w:szCs w:val="24"/>
                <w:vertAlign w:val="baseline"/>
              </w:rPr>
            </w:pPr>
          </w:p>
        </w:tc>
      </w:tr>
    </w:tbl>
    <w:p>
      <w:pPr>
        <w:rPr>
          <w:rFonts w:ascii="宋体" w:hAnsi="宋体" w:eastAsia="宋体" w:cs="宋体"/>
          <w:sz w:val="24"/>
          <w:szCs w:val="24"/>
        </w:rPr>
      </w:pPr>
    </w:p>
    <w:p>
      <w:pPr>
        <w:numPr>
          <w:ilvl w:val="0"/>
          <w:numId w:val="1"/>
        </w:numPr>
        <w:rPr>
          <w:rFonts w:ascii="宋体" w:hAnsi="宋体" w:eastAsia="宋体" w:cs="宋体"/>
          <w:sz w:val="24"/>
          <w:szCs w:val="24"/>
        </w:rPr>
      </w:pPr>
      <w:r>
        <w:rPr>
          <w:rFonts w:ascii="宋体" w:hAnsi="宋体" w:eastAsia="宋体" w:cs="宋体"/>
          <w:sz w:val="24"/>
          <w:szCs w:val="24"/>
        </w:rPr>
        <w:t>技术标准与要求</w:t>
      </w:r>
    </w:p>
    <w:p>
      <w:pPr>
        <w:numPr>
          <w:ilvl w:val="0"/>
          <w:numId w:val="0"/>
        </w:numPr>
        <w:rPr>
          <w:rFonts w:ascii="宋体" w:hAnsi="宋体" w:eastAsia="宋体" w:cs="宋体"/>
          <w:sz w:val="24"/>
          <w:szCs w:val="24"/>
        </w:rPr>
      </w:pPr>
    </w:p>
    <w:tbl>
      <w:tblPr>
        <w:tblStyle w:val="3"/>
        <w:tblW w:w="86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056"/>
        <w:gridCol w:w="583"/>
        <w:gridCol w:w="1524"/>
        <w:gridCol w:w="564"/>
        <w:gridCol w:w="744"/>
        <w:gridCol w:w="1020"/>
        <w:gridCol w:w="1068"/>
        <w:gridCol w:w="780"/>
        <w:gridCol w:w="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Pr>
          <w:p>
            <w:pPr>
              <w:numPr>
                <w:ilvl w:val="0"/>
                <w:numId w:val="0"/>
              </w:numPr>
              <w:rPr>
                <w:rFonts w:ascii="宋体" w:hAnsi="宋体" w:eastAsia="宋体" w:cs="宋体"/>
                <w:sz w:val="24"/>
                <w:szCs w:val="24"/>
                <w:vertAlign w:val="baseline"/>
              </w:rPr>
            </w:pPr>
            <w:r>
              <w:rPr>
                <w:rFonts w:ascii="宋体" w:hAnsi="宋体" w:eastAsia="宋体" w:cs="宋体"/>
                <w:sz w:val="24"/>
                <w:szCs w:val="24"/>
              </w:rPr>
              <w:t>序 号</w:t>
            </w:r>
          </w:p>
        </w:tc>
        <w:tc>
          <w:tcPr>
            <w:tcW w:w="1056" w:type="dxa"/>
          </w:tcPr>
          <w:p>
            <w:pPr>
              <w:numPr>
                <w:ilvl w:val="0"/>
                <w:numId w:val="0"/>
              </w:numPr>
              <w:rPr>
                <w:rFonts w:ascii="宋体" w:hAnsi="宋体" w:eastAsia="宋体" w:cs="宋体"/>
                <w:sz w:val="24"/>
                <w:szCs w:val="24"/>
                <w:vertAlign w:val="baseline"/>
              </w:rPr>
            </w:pPr>
            <w:r>
              <w:rPr>
                <w:rFonts w:ascii="宋体" w:hAnsi="宋体" w:eastAsia="宋体" w:cs="宋体"/>
                <w:sz w:val="24"/>
                <w:szCs w:val="24"/>
              </w:rPr>
              <w:t>核心产 品（ “△ ” ）</w:t>
            </w:r>
          </w:p>
        </w:tc>
        <w:tc>
          <w:tcPr>
            <w:tcW w:w="583" w:type="dxa"/>
          </w:tcPr>
          <w:p>
            <w:pPr>
              <w:numPr>
                <w:ilvl w:val="0"/>
                <w:numId w:val="0"/>
              </w:numPr>
              <w:rPr>
                <w:rFonts w:ascii="宋体" w:hAnsi="宋体" w:eastAsia="宋体" w:cs="宋体"/>
                <w:sz w:val="24"/>
                <w:szCs w:val="24"/>
                <w:vertAlign w:val="baseline"/>
              </w:rPr>
            </w:pPr>
            <w:r>
              <w:rPr>
                <w:rFonts w:ascii="宋体" w:hAnsi="宋体" w:eastAsia="宋体" w:cs="宋体"/>
                <w:sz w:val="24"/>
                <w:szCs w:val="24"/>
              </w:rPr>
              <w:t>品目名称</w:t>
            </w:r>
          </w:p>
        </w:tc>
        <w:tc>
          <w:tcPr>
            <w:tcW w:w="1524" w:type="dxa"/>
          </w:tcPr>
          <w:p>
            <w:pPr>
              <w:numPr>
                <w:ilvl w:val="0"/>
                <w:numId w:val="0"/>
              </w:numPr>
              <w:rPr>
                <w:rFonts w:ascii="宋体" w:hAnsi="宋体" w:eastAsia="宋体" w:cs="宋体"/>
                <w:sz w:val="24"/>
                <w:szCs w:val="24"/>
                <w:vertAlign w:val="baseline"/>
              </w:rPr>
            </w:pPr>
            <w:r>
              <w:rPr>
                <w:rFonts w:ascii="宋体" w:hAnsi="宋体" w:eastAsia="宋体" w:cs="宋体"/>
                <w:sz w:val="24"/>
                <w:szCs w:val="24"/>
              </w:rPr>
              <w:t>标的名称</w:t>
            </w:r>
          </w:p>
        </w:tc>
        <w:tc>
          <w:tcPr>
            <w:tcW w:w="564" w:type="dxa"/>
          </w:tcPr>
          <w:p>
            <w:pPr>
              <w:numPr>
                <w:ilvl w:val="0"/>
                <w:numId w:val="0"/>
              </w:numPr>
              <w:rPr>
                <w:rFonts w:ascii="宋体" w:hAnsi="宋体" w:eastAsia="宋体" w:cs="宋体"/>
                <w:sz w:val="24"/>
                <w:szCs w:val="24"/>
                <w:vertAlign w:val="baseline"/>
              </w:rPr>
            </w:pPr>
            <w:r>
              <w:rPr>
                <w:rFonts w:ascii="宋体" w:hAnsi="宋体" w:eastAsia="宋体" w:cs="宋体"/>
                <w:sz w:val="24"/>
                <w:szCs w:val="24"/>
              </w:rPr>
              <w:t>单 位</w:t>
            </w:r>
          </w:p>
        </w:tc>
        <w:tc>
          <w:tcPr>
            <w:tcW w:w="744" w:type="dxa"/>
          </w:tcPr>
          <w:p>
            <w:pPr>
              <w:numPr>
                <w:ilvl w:val="0"/>
                <w:numId w:val="0"/>
              </w:numPr>
              <w:rPr>
                <w:rFonts w:ascii="宋体" w:hAnsi="宋体" w:eastAsia="宋体" w:cs="宋体"/>
                <w:sz w:val="24"/>
                <w:szCs w:val="24"/>
                <w:vertAlign w:val="baseline"/>
              </w:rPr>
            </w:pPr>
            <w:r>
              <w:rPr>
                <w:rFonts w:ascii="宋体" w:hAnsi="宋体" w:eastAsia="宋体" w:cs="宋体"/>
                <w:sz w:val="24"/>
                <w:szCs w:val="24"/>
              </w:rPr>
              <w:t>数量</w:t>
            </w:r>
          </w:p>
        </w:tc>
        <w:tc>
          <w:tcPr>
            <w:tcW w:w="1020" w:type="dxa"/>
          </w:tcPr>
          <w:p>
            <w:pPr>
              <w:numPr>
                <w:ilvl w:val="0"/>
                <w:numId w:val="0"/>
              </w:numPr>
              <w:rPr>
                <w:rFonts w:ascii="宋体" w:hAnsi="宋体" w:eastAsia="宋体" w:cs="宋体"/>
                <w:sz w:val="24"/>
                <w:szCs w:val="24"/>
                <w:vertAlign w:val="baseline"/>
              </w:rPr>
            </w:pPr>
            <w:r>
              <w:rPr>
                <w:rFonts w:ascii="宋体" w:hAnsi="宋体" w:eastAsia="宋体" w:cs="宋体"/>
                <w:sz w:val="24"/>
                <w:szCs w:val="24"/>
              </w:rPr>
              <w:t>分项预算单价 （元）</w:t>
            </w:r>
          </w:p>
        </w:tc>
        <w:tc>
          <w:tcPr>
            <w:tcW w:w="1068" w:type="dxa"/>
          </w:tcPr>
          <w:p>
            <w:pPr>
              <w:numPr>
                <w:ilvl w:val="0"/>
                <w:numId w:val="0"/>
              </w:numPr>
              <w:rPr>
                <w:rFonts w:ascii="宋体" w:hAnsi="宋体" w:eastAsia="宋体" w:cs="宋体"/>
                <w:sz w:val="24"/>
                <w:szCs w:val="24"/>
                <w:vertAlign w:val="baseline"/>
              </w:rPr>
            </w:pPr>
            <w:r>
              <w:rPr>
                <w:rFonts w:ascii="宋体" w:hAnsi="宋体" w:eastAsia="宋体" w:cs="宋体"/>
                <w:sz w:val="24"/>
                <w:szCs w:val="24"/>
              </w:rPr>
              <w:t>分项预算总价 （元）</w:t>
            </w:r>
          </w:p>
        </w:tc>
        <w:tc>
          <w:tcPr>
            <w:tcW w:w="780" w:type="dxa"/>
          </w:tcPr>
          <w:p>
            <w:pPr>
              <w:numPr>
                <w:ilvl w:val="0"/>
                <w:numId w:val="0"/>
              </w:numPr>
              <w:rPr>
                <w:rFonts w:ascii="宋体" w:hAnsi="宋体" w:eastAsia="宋体" w:cs="宋体"/>
                <w:sz w:val="24"/>
                <w:szCs w:val="24"/>
                <w:vertAlign w:val="baseline"/>
              </w:rPr>
            </w:pPr>
            <w:r>
              <w:rPr>
                <w:rFonts w:ascii="宋体" w:hAnsi="宋体" w:eastAsia="宋体" w:cs="宋体"/>
                <w:sz w:val="24"/>
                <w:szCs w:val="24"/>
              </w:rPr>
              <w:t>所属行业</w:t>
            </w:r>
          </w:p>
        </w:tc>
        <w:tc>
          <w:tcPr>
            <w:tcW w:w="828" w:type="dxa"/>
          </w:tcPr>
          <w:p>
            <w:pPr>
              <w:numPr>
                <w:ilvl w:val="0"/>
                <w:numId w:val="0"/>
              </w:numPr>
              <w:rPr>
                <w:rFonts w:ascii="宋体" w:hAnsi="宋体" w:eastAsia="宋体" w:cs="宋体"/>
                <w:sz w:val="24"/>
                <w:szCs w:val="24"/>
                <w:vertAlign w:val="baseline"/>
              </w:rPr>
            </w:pPr>
            <w:r>
              <w:rPr>
                <w:rFonts w:ascii="宋体" w:hAnsi="宋体" w:eastAsia="宋体" w:cs="宋体"/>
                <w:sz w:val="24"/>
                <w:szCs w:val="24"/>
              </w:rPr>
              <w:t>技 术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tcPr>
          <w:p>
            <w:pPr>
              <w:numPr>
                <w:ilvl w:val="0"/>
                <w:numId w:val="0"/>
              </w:num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056" w:type="dxa"/>
          </w:tcPr>
          <w:p>
            <w:pPr>
              <w:numPr>
                <w:ilvl w:val="0"/>
                <w:numId w:val="0"/>
              </w:numPr>
              <w:rPr>
                <w:rFonts w:ascii="宋体" w:hAnsi="宋体" w:eastAsia="宋体" w:cs="宋体"/>
                <w:sz w:val="24"/>
                <w:szCs w:val="24"/>
                <w:vertAlign w:val="baseline"/>
              </w:rPr>
            </w:pPr>
          </w:p>
        </w:tc>
        <w:tc>
          <w:tcPr>
            <w:tcW w:w="583" w:type="dxa"/>
          </w:tcPr>
          <w:p>
            <w:pPr>
              <w:numPr>
                <w:ilvl w:val="0"/>
                <w:numId w:val="0"/>
              </w:numPr>
              <w:rPr>
                <w:rFonts w:ascii="宋体" w:hAnsi="宋体" w:eastAsia="宋体" w:cs="宋体"/>
                <w:sz w:val="24"/>
                <w:szCs w:val="24"/>
                <w:vertAlign w:val="baseline"/>
              </w:rPr>
            </w:pPr>
            <w:r>
              <w:rPr>
                <w:rFonts w:ascii="宋体" w:hAnsi="宋体" w:eastAsia="宋体" w:cs="宋体"/>
                <w:sz w:val="24"/>
                <w:szCs w:val="24"/>
              </w:rPr>
              <w:t>其他服务</w:t>
            </w:r>
          </w:p>
        </w:tc>
        <w:tc>
          <w:tcPr>
            <w:tcW w:w="1524" w:type="dxa"/>
          </w:tcPr>
          <w:p>
            <w:pPr>
              <w:numPr>
                <w:ilvl w:val="0"/>
                <w:numId w:val="0"/>
              </w:numPr>
              <w:rPr>
                <w:rFonts w:ascii="宋体" w:hAnsi="宋体" w:eastAsia="宋体" w:cs="宋体"/>
                <w:sz w:val="24"/>
                <w:szCs w:val="24"/>
                <w:vertAlign w:val="baseline"/>
              </w:rPr>
            </w:pPr>
            <w:r>
              <w:rPr>
                <w:rFonts w:ascii="宋体" w:hAnsi="宋体" w:eastAsia="宋体" w:cs="宋体"/>
                <w:sz w:val="24"/>
                <w:szCs w:val="24"/>
              </w:rPr>
              <w:t>网格巡查等辅助性外 包服务</w:t>
            </w:r>
          </w:p>
        </w:tc>
        <w:tc>
          <w:tcPr>
            <w:tcW w:w="564" w:type="dxa"/>
          </w:tcPr>
          <w:p>
            <w:pPr>
              <w:numPr>
                <w:ilvl w:val="0"/>
                <w:numId w:val="0"/>
              </w:numPr>
              <w:rPr>
                <w:rFonts w:ascii="宋体" w:hAnsi="宋体" w:eastAsia="宋体" w:cs="宋体"/>
                <w:sz w:val="24"/>
                <w:szCs w:val="24"/>
                <w:vertAlign w:val="baseline"/>
              </w:rPr>
            </w:pPr>
            <w:r>
              <w:rPr>
                <w:rFonts w:ascii="宋体" w:hAnsi="宋体" w:eastAsia="宋体" w:cs="宋体"/>
                <w:sz w:val="24"/>
                <w:szCs w:val="24"/>
              </w:rPr>
              <w:t>项</w:t>
            </w:r>
          </w:p>
        </w:tc>
        <w:tc>
          <w:tcPr>
            <w:tcW w:w="744" w:type="dxa"/>
          </w:tcPr>
          <w:p>
            <w:pPr>
              <w:numPr>
                <w:ilvl w:val="0"/>
                <w:numId w:val="0"/>
              </w:numPr>
              <w:rPr>
                <w:rFonts w:ascii="宋体" w:hAnsi="宋体" w:eastAsia="宋体" w:cs="宋体"/>
                <w:sz w:val="24"/>
                <w:szCs w:val="24"/>
                <w:vertAlign w:val="baseline"/>
              </w:rPr>
            </w:pPr>
            <w:r>
              <w:rPr>
                <w:rFonts w:ascii="宋体" w:hAnsi="宋体" w:eastAsia="宋体" w:cs="宋体"/>
                <w:sz w:val="24"/>
                <w:szCs w:val="24"/>
              </w:rPr>
              <w:t>1.00</w:t>
            </w:r>
          </w:p>
        </w:tc>
        <w:tc>
          <w:tcPr>
            <w:tcW w:w="1020" w:type="dxa"/>
          </w:tcPr>
          <w:p>
            <w:pPr>
              <w:numPr>
                <w:ilvl w:val="0"/>
                <w:numId w:val="0"/>
              </w:numPr>
              <w:rPr>
                <w:rFonts w:ascii="宋体" w:hAnsi="宋体" w:eastAsia="宋体" w:cs="宋体"/>
                <w:sz w:val="24"/>
                <w:szCs w:val="24"/>
                <w:vertAlign w:val="baseline"/>
              </w:rPr>
            </w:pPr>
            <w:r>
              <w:rPr>
                <w:rFonts w:ascii="宋体" w:hAnsi="宋体" w:eastAsia="宋体" w:cs="宋体"/>
                <w:sz w:val="24"/>
                <w:szCs w:val="24"/>
              </w:rPr>
              <w:t>21,324,000.00</w:t>
            </w:r>
          </w:p>
        </w:tc>
        <w:tc>
          <w:tcPr>
            <w:tcW w:w="1068" w:type="dxa"/>
          </w:tcPr>
          <w:p>
            <w:pPr>
              <w:numPr>
                <w:ilvl w:val="0"/>
                <w:numId w:val="0"/>
              </w:numPr>
              <w:rPr>
                <w:rFonts w:ascii="宋体" w:hAnsi="宋体" w:eastAsia="宋体" w:cs="宋体"/>
                <w:sz w:val="24"/>
                <w:szCs w:val="24"/>
                <w:vertAlign w:val="baseline"/>
              </w:rPr>
            </w:pPr>
            <w:r>
              <w:rPr>
                <w:rFonts w:ascii="宋体" w:hAnsi="宋体" w:eastAsia="宋体" w:cs="宋体"/>
                <w:sz w:val="24"/>
                <w:szCs w:val="24"/>
              </w:rPr>
              <w:t>21,324,000.00</w:t>
            </w:r>
          </w:p>
        </w:tc>
        <w:tc>
          <w:tcPr>
            <w:tcW w:w="780" w:type="dxa"/>
          </w:tcPr>
          <w:p>
            <w:pPr>
              <w:numPr>
                <w:ilvl w:val="0"/>
                <w:numId w:val="0"/>
              </w:numPr>
              <w:rPr>
                <w:rFonts w:ascii="宋体" w:hAnsi="宋体" w:eastAsia="宋体" w:cs="宋体"/>
                <w:sz w:val="24"/>
                <w:szCs w:val="24"/>
                <w:vertAlign w:val="baseline"/>
              </w:rPr>
            </w:pPr>
            <w:r>
              <w:rPr>
                <w:rFonts w:ascii="宋体" w:hAnsi="宋体" w:eastAsia="宋体" w:cs="宋体"/>
                <w:sz w:val="24"/>
                <w:szCs w:val="24"/>
              </w:rPr>
              <w:t>其他未 列明行 业</w:t>
            </w:r>
          </w:p>
        </w:tc>
        <w:tc>
          <w:tcPr>
            <w:tcW w:w="828" w:type="dxa"/>
          </w:tcPr>
          <w:p>
            <w:pPr>
              <w:numPr>
                <w:ilvl w:val="0"/>
                <w:numId w:val="0"/>
              </w:numPr>
              <w:rPr>
                <w:rFonts w:ascii="宋体" w:hAnsi="宋体" w:eastAsia="宋体" w:cs="宋体"/>
                <w:sz w:val="24"/>
                <w:szCs w:val="24"/>
                <w:vertAlign w:val="baseline"/>
              </w:rPr>
            </w:pPr>
            <w:r>
              <w:rPr>
                <w:rFonts w:ascii="宋体" w:hAnsi="宋体" w:eastAsia="宋体" w:cs="宋体"/>
                <w:sz w:val="24"/>
                <w:szCs w:val="24"/>
              </w:rPr>
              <w:t>详 见 附 表 一</w:t>
            </w:r>
          </w:p>
        </w:tc>
      </w:tr>
    </w:tbl>
    <w:p>
      <w:pPr>
        <w:numPr>
          <w:ilvl w:val="0"/>
          <w:numId w:val="0"/>
        </w:numPr>
        <w:rPr>
          <w:rFonts w:ascii="宋体" w:hAnsi="宋体" w:eastAsia="宋体" w:cs="宋体"/>
          <w:sz w:val="24"/>
          <w:szCs w:val="24"/>
        </w:rPr>
      </w:pPr>
      <w:r>
        <w:rPr>
          <w:rFonts w:ascii="宋体" w:hAnsi="宋体" w:eastAsia="宋体" w:cs="宋体"/>
          <w:sz w:val="24"/>
          <w:szCs w:val="24"/>
        </w:rPr>
        <w:t>注：若存在多项核心产品，当不同供应商提供的任意一项核心产品的品牌相同，则视同其是所响应核心产品品牌相同供应商。</w:t>
      </w:r>
    </w:p>
    <w:p>
      <w:pPr>
        <w:numPr>
          <w:ilvl w:val="0"/>
          <w:numId w:val="0"/>
        </w:numPr>
        <w:rPr>
          <w:rFonts w:ascii="宋体" w:hAnsi="宋体" w:eastAsia="宋体" w:cs="宋体"/>
          <w:sz w:val="24"/>
          <w:szCs w:val="24"/>
        </w:rPr>
      </w:pPr>
    </w:p>
    <w:p>
      <w:pPr>
        <w:numPr>
          <w:ilvl w:val="0"/>
          <w:numId w:val="0"/>
        </w:numPr>
        <w:rPr>
          <w:rFonts w:ascii="宋体" w:hAnsi="宋体" w:eastAsia="宋体" w:cs="宋体"/>
          <w:sz w:val="24"/>
          <w:szCs w:val="24"/>
        </w:rPr>
      </w:pPr>
      <w:r>
        <w:rPr>
          <w:rFonts w:ascii="宋体" w:hAnsi="宋体" w:eastAsia="宋体" w:cs="宋体"/>
          <w:sz w:val="24"/>
          <w:szCs w:val="24"/>
        </w:rPr>
        <w:t>附表一：网格巡查等辅助性外包服务</w:t>
      </w:r>
    </w:p>
    <w:p>
      <w:pPr>
        <w:numPr>
          <w:ilvl w:val="0"/>
          <w:numId w:val="0"/>
        </w:numPr>
        <w:rPr>
          <w:rFonts w:ascii="宋体" w:hAnsi="宋体" w:eastAsia="宋体" w:cs="宋体"/>
          <w:sz w:val="24"/>
          <w:szCs w:val="2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840"/>
        <w:gridCol w:w="6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pPr>
              <w:numPr>
                <w:ilvl w:val="0"/>
                <w:numId w:val="0"/>
              </w:numPr>
              <w:rPr>
                <w:rFonts w:ascii="宋体" w:hAnsi="宋体" w:eastAsia="宋体" w:cs="宋体"/>
                <w:sz w:val="24"/>
                <w:szCs w:val="24"/>
                <w:vertAlign w:val="baseline"/>
              </w:rPr>
            </w:pPr>
            <w:r>
              <w:rPr>
                <w:rFonts w:ascii="宋体" w:hAnsi="宋体" w:eastAsia="宋体" w:cs="宋体"/>
                <w:sz w:val="24"/>
                <w:szCs w:val="24"/>
              </w:rPr>
              <w:t>参数性质</w:t>
            </w:r>
          </w:p>
        </w:tc>
        <w:tc>
          <w:tcPr>
            <w:tcW w:w="840" w:type="dxa"/>
          </w:tcPr>
          <w:p>
            <w:pPr>
              <w:numPr>
                <w:ilvl w:val="0"/>
                <w:numId w:val="0"/>
              </w:numPr>
              <w:rPr>
                <w:rFonts w:ascii="宋体" w:hAnsi="宋体" w:eastAsia="宋体" w:cs="宋体"/>
                <w:sz w:val="24"/>
                <w:szCs w:val="24"/>
                <w:vertAlign w:val="baseline"/>
              </w:rPr>
            </w:pPr>
            <w:r>
              <w:rPr>
                <w:rFonts w:ascii="宋体" w:hAnsi="宋体" w:eastAsia="宋体" w:cs="宋体"/>
                <w:sz w:val="24"/>
                <w:szCs w:val="24"/>
              </w:rPr>
              <w:t>序 号</w:t>
            </w:r>
          </w:p>
        </w:tc>
        <w:tc>
          <w:tcPr>
            <w:tcW w:w="6967" w:type="dxa"/>
          </w:tcPr>
          <w:p>
            <w:pPr>
              <w:numPr>
                <w:ilvl w:val="0"/>
                <w:numId w:val="0"/>
              </w:numPr>
              <w:rPr>
                <w:rFonts w:ascii="宋体" w:hAnsi="宋体" w:eastAsia="宋体" w:cs="宋体"/>
                <w:sz w:val="24"/>
                <w:szCs w:val="24"/>
                <w:vertAlign w:val="baseline"/>
              </w:rPr>
            </w:pPr>
            <w:r>
              <w:rPr>
                <w:rFonts w:ascii="宋体" w:hAnsi="宋体" w:eastAsia="宋体" w:cs="宋体"/>
                <w:sz w:val="24"/>
                <w:szCs w:val="24"/>
              </w:rPr>
              <w:t>具体技术(参数)要求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pPr>
              <w:numPr>
                <w:ilvl w:val="0"/>
                <w:numId w:val="0"/>
              </w:numPr>
              <w:rPr>
                <w:rFonts w:ascii="宋体" w:hAnsi="宋体" w:eastAsia="宋体" w:cs="宋体"/>
                <w:sz w:val="24"/>
                <w:szCs w:val="24"/>
                <w:vertAlign w:val="baseline"/>
              </w:rPr>
            </w:pPr>
          </w:p>
        </w:tc>
        <w:tc>
          <w:tcPr>
            <w:tcW w:w="840" w:type="dxa"/>
          </w:tcPr>
          <w:p>
            <w:pPr>
              <w:numPr>
                <w:ilvl w:val="0"/>
                <w:numId w:val="0"/>
              </w:num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6967" w:type="dxa"/>
          </w:tcPr>
          <w:p>
            <w:pPr>
              <w:numPr>
                <w:ilvl w:val="0"/>
                <w:numId w:val="2"/>
              </w:numPr>
              <w:rPr>
                <w:rFonts w:ascii="宋体" w:hAnsi="宋体" w:eastAsia="宋体" w:cs="宋体"/>
                <w:sz w:val="24"/>
                <w:szCs w:val="24"/>
              </w:rPr>
            </w:pPr>
            <w:r>
              <w:rPr>
                <w:rFonts w:ascii="宋体" w:hAnsi="宋体" w:eastAsia="宋体" w:cs="宋体"/>
                <w:sz w:val="24"/>
                <w:szCs w:val="24"/>
              </w:rPr>
              <w:t>总体要求</w:t>
            </w:r>
          </w:p>
          <w:p>
            <w:pPr>
              <w:numPr>
                <w:ilvl w:val="0"/>
                <w:numId w:val="3"/>
              </w:numPr>
              <w:rPr>
                <w:rFonts w:ascii="宋体" w:hAnsi="宋体" w:eastAsia="宋体" w:cs="宋体"/>
                <w:sz w:val="24"/>
                <w:szCs w:val="24"/>
              </w:rPr>
            </w:pPr>
            <w:r>
              <w:rPr>
                <w:rFonts w:ascii="宋体" w:hAnsi="宋体" w:eastAsia="宋体" w:cs="宋体"/>
                <w:sz w:val="24"/>
                <w:szCs w:val="24"/>
              </w:rPr>
              <w:t>要求配置服务外包人员（网格员）不少于50人。主要工作内容：入户调查走访，收集社情民意；采集基础信息，建立名册台账；日常网格巡查，排查问题隐患；及时上报事件，转派相关职能部门闭环处置；关注特殊群体，便民代办服务；宣传政策法规，提供办事指引。</w:t>
            </w:r>
          </w:p>
          <w:p>
            <w:pPr>
              <w:numPr>
                <w:numId w:val="0"/>
              </w:numPr>
              <w:rPr>
                <w:rFonts w:ascii="宋体" w:hAnsi="宋体" w:eastAsia="宋体" w:cs="宋体"/>
                <w:sz w:val="24"/>
                <w:szCs w:val="24"/>
                <w:vertAlign w:val="baseline"/>
              </w:rPr>
            </w:pPr>
            <w:r>
              <w:rPr>
                <w:rFonts w:ascii="宋体" w:hAnsi="宋体" w:eastAsia="宋体" w:cs="宋体"/>
                <w:sz w:val="24"/>
                <w:szCs w:val="24"/>
              </w:rPr>
              <w:t>（二）服务外包人员工作内容及要求每天工作时间8小时，每周不少于40小时，其中每天巡查走访不少于5小时。网格员应熟练 掌握相关的法律法规、技术标准。处理入格事项的，网格员自行处置、报送至村居解决、转派相 关职能部门处理，网格员要全程跟踪事项处置情况，三种方式均要按照巡查发现-事件报送-调度派 遣-处置反馈-评价结案这“五步闭环”开展网格工作。按照“人来登记、人走注销、定期更新”原则，利用来穗系统及时采录、更新“人屋” 数据信息，主要排查整治出租屋安全隐患，发现消防问题（电线乱拉接、电动车乱停放等）后与租客沟通并联系房东，发出《整改通知书》，遏制出租屋重大安全事故发生，每月要求发现上报各类违法、犯罪线索和不稳定因素，出租屋消防安全隐患；发现上报不安全使用燃气行为、违法经营燃气行为；发现上报无证无照线索、发现上报传销线索、无证经营等。协同其他部门开展联合行动，如协助公安开展三小场所整治，协助消安办开展消防隐患整治、协助组织办开展非公企业党建巡查工作等。完成受公安部门委托办理居住证业务；受住建局委托，办理房屋租赁合同备案；受税务部门委托，办理个人出租屋综合地方税的征缴工作。协助开展网格党员之家活动，要求每月2次；协助开展系列来穗融合课堂活动，要求完成21场次活动；协助开展线上线下网格宣传活动。派发宣传单张、张贴宣传海报、发放调查问卷等等，入户进行面对面宣传。除了网格和来穗 的宣传资料（网格宣传小册子，积分入学、入户宣传等）以外，同时还协助其他部门开展入户宣传工作，如教育指导中心、预联办、消安办、爱卫办、综治办等部门委托派发的宣传资料，含禁 毒、反邪、扫黑除恶、防溺水、消防安全、生活垃圾分类等方面内容。继续做好疫情防控常态化工作，加强重点疫区来穗人员核查、疫情隐患协同排查监测，做好宣传引导和人文关怀，压实出租屋业主责任。协助应急突发工作处置，做好社会面遇到力所能及的各项工作，如协助灭火、找回走失儿童和老人、协助抓获犯罪嫌疑人、临时救急抢险等。完成党委、政府各时期交办的重点工作任务，如创文工作、人居环境整治、登革热防治、治水、拆违、人口普查等各种专项工作。开展出租屋日常巡查，配合国土房管、公安、人口与计生、税务、规划等职能部门对房屋租 赁情况进行检查，督促出租人、租住人落实安全防范措施以及履行出租屋管理责任；受有关职能 部门委托，办理与来穗人员和出租屋有关的业务。合同期内，要求每个基础网格每月按中心要求完成入格事项；来穗人员身份证刷证率不低于7 0%、二维码巡查率不低于95%；开展网格化服务管理工作宣传，</w:t>
            </w:r>
            <w:bookmarkStart w:id="0" w:name="_GoBack"/>
            <w:bookmarkEnd w:id="0"/>
            <w:r>
              <w:rPr>
                <w:rFonts w:ascii="宋体" w:hAnsi="宋体" w:eastAsia="宋体" w:cs="宋体"/>
                <w:sz w:val="24"/>
                <w:szCs w:val="24"/>
              </w:rPr>
              <w:t>全年网格内群众知晓率达90%以上，协助开展各类融合和宣传服务活动，推进来穗人员融合服务高质量发展。服从广州市南沙区横沥镇人民政府的工作安排。完成上级和镇党委、政府各时期、各阶段交办的各项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pPr>
              <w:numPr>
                <w:ilvl w:val="0"/>
                <w:numId w:val="0"/>
              </w:numPr>
              <w:rPr>
                <w:rFonts w:ascii="宋体" w:hAnsi="宋体" w:eastAsia="宋体" w:cs="宋体"/>
                <w:sz w:val="24"/>
                <w:szCs w:val="24"/>
                <w:vertAlign w:val="baseline"/>
              </w:rPr>
            </w:pPr>
          </w:p>
        </w:tc>
        <w:tc>
          <w:tcPr>
            <w:tcW w:w="840" w:type="dxa"/>
          </w:tcPr>
          <w:p>
            <w:pPr>
              <w:numPr>
                <w:ilvl w:val="0"/>
                <w:numId w:val="0"/>
              </w:num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6967" w:type="dxa"/>
          </w:tcPr>
          <w:p>
            <w:pPr>
              <w:numPr>
                <w:ilvl w:val="0"/>
                <w:numId w:val="0"/>
              </w:numPr>
              <w:rPr>
                <w:rFonts w:ascii="宋体" w:hAnsi="宋体" w:eastAsia="宋体" w:cs="宋体"/>
                <w:sz w:val="24"/>
                <w:szCs w:val="24"/>
                <w:vertAlign w:val="baseline"/>
              </w:rPr>
            </w:pPr>
            <w:r>
              <w:rPr>
                <w:rFonts w:ascii="宋体" w:hAnsi="宋体" w:eastAsia="宋体" w:cs="宋体"/>
                <w:sz w:val="24"/>
                <w:szCs w:val="24"/>
              </w:rPr>
              <w:t>三、基本目标要求要求每个基础网格每月完成入格事项不少于66件，来穗人员身份证刷证率不低于70%、二维码巡查率不低于95%；开展网格化服务管理工作宣传，全年网格内群众知晓率达90%以上，开展各类融合课堂，推进来穗人员融合服务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pPr>
              <w:numPr>
                <w:ilvl w:val="0"/>
                <w:numId w:val="0"/>
              </w:numPr>
              <w:rPr>
                <w:rFonts w:ascii="宋体" w:hAnsi="宋体" w:eastAsia="宋体" w:cs="宋体"/>
                <w:sz w:val="24"/>
                <w:szCs w:val="24"/>
                <w:vertAlign w:val="baseline"/>
              </w:rPr>
            </w:pPr>
          </w:p>
        </w:tc>
        <w:tc>
          <w:tcPr>
            <w:tcW w:w="840" w:type="dxa"/>
          </w:tcPr>
          <w:p>
            <w:pPr>
              <w:numPr>
                <w:ilvl w:val="0"/>
                <w:numId w:val="0"/>
              </w:num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6967" w:type="dxa"/>
          </w:tcPr>
          <w:p>
            <w:pPr>
              <w:numPr>
                <w:ilvl w:val="0"/>
                <w:numId w:val="4"/>
              </w:numPr>
              <w:rPr>
                <w:rFonts w:ascii="宋体" w:hAnsi="宋体" w:eastAsia="宋体" w:cs="宋体"/>
                <w:sz w:val="24"/>
                <w:szCs w:val="24"/>
              </w:rPr>
            </w:pPr>
            <w:r>
              <w:rPr>
                <w:rFonts w:ascii="宋体" w:hAnsi="宋体" w:eastAsia="宋体" w:cs="宋体"/>
                <w:sz w:val="24"/>
                <w:szCs w:val="24"/>
              </w:rPr>
              <w:t xml:space="preserve">人员要求 </w:t>
            </w:r>
          </w:p>
          <w:p>
            <w:pPr>
              <w:numPr>
                <w:ilvl w:val="0"/>
                <w:numId w:val="5"/>
              </w:numPr>
              <w:rPr>
                <w:rFonts w:ascii="宋体" w:hAnsi="宋体" w:eastAsia="宋体" w:cs="宋体"/>
                <w:sz w:val="24"/>
                <w:szCs w:val="24"/>
              </w:rPr>
            </w:pPr>
            <w:r>
              <w:rPr>
                <w:rFonts w:ascii="宋体" w:hAnsi="宋体" w:eastAsia="宋体" w:cs="宋体"/>
                <w:sz w:val="24"/>
                <w:szCs w:val="24"/>
              </w:rPr>
              <w:t>人员基本要求：拥护中国共产党的领导，遵守党政机关工作纪律和有关规章制度；全日制大学专科或以上文化程度,能熟练使用智能手机和计算机操作；35周岁以下；身体健康，品行端正，责任心强，吃 苦耐劳；体检合格。</w:t>
            </w:r>
          </w:p>
          <w:p>
            <w:pPr>
              <w:numPr>
                <w:ilvl w:val="0"/>
                <w:numId w:val="5"/>
              </w:numPr>
              <w:ind w:left="0" w:leftChars="0" w:firstLine="0" w:firstLineChars="0"/>
              <w:rPr>
                <w:rFonts w:ascii="宋体" w:hAnsi="宋体" w:eastAsia="宋体" w:cs="宋体"/>
                <w:sz w:val="24"/>
                <w:szCs w:val="24"/>
              </w:rPr>
            </w:pPr>
            <w:r>
              <w:rPr>
                <w:rFonts w:ascii="宋体" w:hAnsi="宋体" w:eastAsia="宋体" w:cs="宋体"/>
                <w:sz w:val="24"/>
                <w:szCs w:val="24"/>
              </w:rPr>
              <w:t>人员其他要求：中标人须自行为中标人的工作人员提供所需工作用品，包括但不限于以下工作配套工具：相机、笔、记录本、文件袋等；</w:t>
            </w:r>
          </w:p>
          <w:p>
            <w:pPr>
              <w:numPr>
                <w:ilvl w:val="0"/>
                <w:numId w:val="0"/>
              </w:numPr>
              <w:ind w:leftChars="0" w:firstLine="480" w:firstLineChars="200"/>
              <w:rPr>
                <w:rFonts w:ascii="宋体" w:hAnsi="宋体" w:eastAsia="宋体" w:cs="宋体"/>
                <w:sz w:val="24"/>
                <w:szCs w:val="24"/>
              </w:rPr>
            </w:pPr>
            <w:r>
              <w:rPr>
                <w:rFonts w:ascii="宋体" w:hAnsi="宋体" w:eastAsia="宋体" w:cs="宋体"/>
                <w:sz w:val="24"/>
                <w:szCs w:val="24"/>
              </w:rPr>
              <w:t>中标人须另行为中标人的工作人员购置人身意外险等，中标人的工作人员在服务过程中，发生人身、财产损害事项的，由中标人自行处理，采购人不承担责任；</w:t>
            </w:r>
          </w:p>
          <w:p>
            <w:pPr>
              <w:numPr>
                <w:ilvl w:val="0"/>
                <w:numId w:val="0"/>
              </w:numPr>
              <w:ind w:leftChars="0" w:firstLine="480" w:firstLineChars="200"/>
              <w:rPr>
                <w:rFonts w:ascii="宋体" w:hAnsi="宋体" w:eastAsia="宋体" w:cs="宋体"/>
                <w:sz w:val="24"/>
                <w:szCs w:val="24"/>
              </w:rPr>
            </w:pPr>
            <w:r>
              <w:rPr>
                <w:rFonts w:ascii="宋体" w:hAnsi="宋体" w:eastAsia="宋体" w:cs="宋体"/>
                <w:sz w:val="24"/>
                <w:szCs w:val="24"/>
              </w:rPr>
              <w:t>中标人须配备与中标人的工作人员相适应具有合法证照的交通工具，承担服务过程中产生的 交通成本；</w:t>
            </w:r>
          </w:p>
          <w:p>
            <w:pPr>
              <w:numPr>
                <w:ilvl w:val="0"/>
                <w:numId w:val="0"/>
              </w:numPr>
              <w:ind w:leftChars="0" w:firstLine="480" w:firstLineChars="200"/>
              <w:rPr>
                <w:rFonts w:ascii="宋体" w:hAnsi="宋体" w:eastAsia="宋体" w:cs="宋体"/>
                <w:sz w:val="24"/>
                <w:szCs w:val="24"/>
                <w:vertAlign w:val="baseline"/>
              </w:rPr>
            </w:pPr>
            <w:r>
              <w:rPr>
                <w:rFonts w:ascii="宋体" w:hAnsi="宋体" w:eastAsia="宋体" w:cs="宋体"/>
                <w:sz w:val="24"/>
                <w:szCs w:val="24"/>
              </w:rPr>
              <w:t>中标人须为中标人的工作人员提供办公场所。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pPr>
              <w:numPr>
                <w:ilvl w:val="0"/>
                <w:numId w:val="0"/>
              </w:numPr>
              <w:rPr>
                <w:rFonts w:ascii="宋体" w:hAnsi="宋体" w:eastAsia="宋体" w:cs="宋体"/>
                <w:sz w:val="24"/>
                <w:szCs w:val="24"/>
                <w:vertAlign w:val="baseline"/>
              </w:rPr>
            </w:pPr>
          </w:p>
        </w:tc>
        <w:tc>
          <w:tcPr>
            <w:tcW w:w="840" w:type="dxa"/>
          </w:tcPr>
          <w:p>
            <w:pPr>
              <w:numPr>
                <w:ilvl w:val="0"/>
                <w:numId w:val="0"/>
              </w:num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6967" w:type="dxa"/>
          </w:tcPr>
          <w:p>
            <w:pPr>
              <w:numPr>
                <w:ilvl w:val="0"/>
                <w:numId w:val="4"/>
              </w:numPr>
              <w:ind w:left="0" w:leftChars="0" w:firstLine="0" w:firstLineChars="0"/>
              <w:rPr>
                <w:rFonts w:ascii="宋体" w:hAnsi="宋体" w:eastAsia="宋体" w:cs="宋体"/>
                <w:sz w:val="24"/>
                <w:szCs w:val="24"/>
              </w:rPr>
            </w:pPr>
            <w:r>
              <w:rPr>
                <w:rFonts w:ascii="宋体" w:hAnsi="宋体" w:eastAsia="宋体" w:cs="宋体"/>
                <w:sz w:val="24"/>
                <w:szCs w:val="24"/>
              </w:rPr>
              <w:t>中标人服务要求</w:t>
            </w:r>
          </w:p>
          <w:p>
            <w:pPr>
              <w:numPr>
                <w:ilvl w:val="0"/>
                <w:numId w:val="6"/>
              </w:numPr>
              <w:ind w:leftChars="0"/>
              <w:rPr>
                <w:rFonts w:ascii="宋体" w:hAnsi="宋体" w:eastAsia="宋体" w:cs="宋体"/>
                <w:sz w:val="24"/>
                <w:szCs w:val="24"/>
              </w:rPr>
            </w:pPr>
            <w:r>
              <w:rPr>
                <w:rFonts w:ascii="宋体" w:hAnsi="宋体" w:eastAsia="宋体" w:cs="宋体"/>
                <w:sz w:val="24"/>
                <w:szCs w:val="24"/>
              </w:rPr>
              <w:t>中标人对所拟派人员要严格审查，保证拟派人员没有劳动教养和刑事犯罪记录、健康状况良好、无精神病史。辅助人员须素质良好，无违法犯罪记录，退役军人为优。</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中标人必须严格按照国家、广东省、广州市有关的劳动法规和保险条例，为辅助人员提供完善的劳动权益保障。</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中标人必须采取切实有效措施保持服务队伍的稳定，严格控制非违纪人员轮换岗比例。现场主管更换，应提前一个月以书面形式通知采购人，其他队员更换要提前一周告知采购人。确保 服务质量不因人员变动而受影响。</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中标人工作人员如在服务过程中不听取采购人合理意见的，中标人需在采购人意见提出2个工作日内作出整改；中标人派驻采购单位的工作人员不尽职守的，中标人须在接到采购人书面通知后2天内更换人员。</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如因用工引起的劳动纠纷问题或出现伤、病及意外死亡情况时，由中标人负责调查处理解决并承担相应的法律责任；若采购人因中标人派驻人员用工引起的劳动纠纷而被追究责任的，中 标人应赔偿采购人所遭受的一切损失并承担违约责任。</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中标人必须确保本项目成果数据实事求是、客观公正，符合法律、法规、技术标准。</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签订合同前中标人必须按照国家相关保密规定，分别向采购人、辅助人员签订为采购人保密的协议，保密采购人的工作内容。辅助人员签订的保密协议，中标人需将复印件交给采购人备 案；中标人确保辅助人员保守采购人所有与业务工作相关的内容，严禁泄露给无关的第三方（包括中标人）。因中标人保密履责不到位，造成不良影响和损失的，采购人有权追究中标人法律责任。</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中标人应按采购人的要求对协助服务工作及成果进行及时复核、修改，当采购人下达工作任务时，不得以任何理由延迟或不履行任务。</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中标人有义务做好辅助人员的岗前培训工作，在服务过程中，采购人有权实施监督检查，同时接受广大市民的监督。</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中标人必须做好安全保障措施，保证人员安全，在服务过程中人员产生的纠纷由中标人自行负责解决，涉及相关费用由中标人负责。</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中标人在日常管理中要建立交接班、请（休）假、上下班等登记制度，采购人有权查阅记录。如因辅助人员的休请假、撤换或辞退造成人数的空缺，中标人应在次日内予以补充。</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中标人不得索取、收受有关部门的钱、物，不得接受有关部门的宴请、有价证券、娱乐、旅游等。</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合同期满或因中标人原因，采购人提前解除合同的，中标人必须按采购人的要求按时撤离，并做好服务事项交接和相关资料的移交工作。</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中标人在服务期间，因重要检查、大型活动、突发公共事件对采购人特别委派任务，中标人必须积极无条件响应，并按采购人的要求2小时内到达工作现场。</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中标人不得随意更换辅助人员，如需更换的，则必须征求采购人意见，同意后，经试用符合要求方可更换。</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采购人按实际需要，要求中标人提供具有特殊专长的辅助人员；采购人有权挑选符合条件的特殊岗位的辅助人员。</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采购人有权更换不符合使用要求或损害采购人利益的辅助人员。采购人提出更换要求并与中标人协商，协商完成后中标人应在3个工作日内予以更换。如辅助人员管理能力低、服务质量 差，采购人有权采取相应的惩罚措施，或要求中标人更换人员。如辅助人员违反或损害采购人利益，采购人可要求中标人更换人员。</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中标人应针对本项目建立协助辅助服务方案，以及组织架构、人员录用与管理等内容的规章制度，在实施前向采购人报告，采购人有审核权，经采购人同意后，方能实施。</w:t>
            </w:r>
          </w:p>
          <w:p>
            <w:pPr>
              <w:numPr>
                <w:ilvl w:val="0"/>
                <w:numId w:val="6"/>
              </w:numPr>
              <w:ind w:left="0" w:leftChars="0" w:firstLine="0" w:firstLineChars="0"/>
              <w:rPr>
                <w:rFonts w:ascii="宋体" w:hAnsi="宋体" w:eastAsia="宋体" w:cs="宋体"/>
                <w:sz w:val="24"/>
                <w:szCs w:val="24"/>
              </w:rPr>
            </w:pPr>
            <w:r>
              <w:rPr>
                <w:rFonts w:ascii="宋体" w:hAnsi="宋体" w:eastAsia="宋体" w:cs="宋体"/>
                <w:sz w:val="24"/>
                <w:szCs w:val="24"/>
              </w:rPr>
              <w:t>采购人对重要岗位的设置、人员录用与管理以及重要的管理决策有直接参与权与审批权 。</w:t>
            </w:r>
          </w:p>
          <w:p>
            <w:pPr>
              <w:numPr>
                <w:ilvl w:val="0"/>
                <w:numId w:val="0"/>
              </w:numPr>
              <w:ind w:leftChars="0"/>
              <w:rPr>
                <w:rFonts w:ascii="宋体" w:hAnsi="宋体" w:eastAsia="宋体" w:cs="宋体"/>
                <w:sz w:val="24"/>
                <w:szCs w:val="24"/>
              </w:rPr>
            </w:pPr>
            <w:r>
              <w:rPr>
                <w:rFonts w:ascii="宋体" w:hAnsi="宋体" w:eastAsia="宋体" w:cs="宋体"/>
                <w:sz w:val="24"/>
                <w:szCs w:val="24"/>
              </w:rPr>
              <w:t>（二十）在处理特殊事件和紧急、突发事故时，采购人对中标人派出的辅助人员有直接指挥权。</w:t>
            </w:r>
          </w:p>
          <w:p>
            <w:pPr>
              <w:numPr>
                <w:ilvl w:val="0"/>
                <w:numId w:val="0"/>
              </w:numPr>
              <w:ind w:leftChars="0"/>
              <w:rPr>
                <w:rFonts w:ascii="宋体" w:hAnsi="宋体" w:eastAsia="宋体" w:cs="宋体"/>
                <w:sz w:val="24"/>
                <w:szCs w:val="24"/>
                <w:vertAlign w:val="baseline"/>
              </w:rPr>
            </w:pPr>
            <w:r>
              <w:rPr>
                <w:rFonts w:ascii="宋体" w:hAnsi="宋体" w:eastAsia="宋体" w:cs="宋体"/>
                <w:sz w:val="24"/>
                <w:szCs w:val="24"/>
              </w:rPr>
              <w:t>（二十一）本项目不接受联合体投标，中标项目不得转包。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pPr>
              <w:numPr>
                <w:ilvl w:val="0"/>
                <w:numId w:val="0"/>
              </w:numPr>
              <w:rPr>
                <w:rFonts w:ascii="宋体" w:hAnsi="宋体" w:eastAsia="宋体" w:cs="宋体"/>
                <w:sz w:val="24"/>
                <w:szCs w:val="24"/>
                <w:vertAlign w:val="baseline"/>
              </w:rPr>
            </w:pPr>
          </w:p>
        </w:tc>
        <w:tc>
          <w:tcPr>
            <w:tcW w:w="840" w:type="dxa"/>
          </w:tcPr>
          <w:p>
            <w:pPr>
              <w:numPr>
                <w:ilvl w:val="0"/>
                <w:numId w:val="0"/>
              </w:num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6967" w:type="dxa"/>
          </w:tcPr>
          <w:p>
            <w:pPr>
              <w:numPr>
                <w:ilvl w:val="0"/>
                <w:numId w:val="4"/>
              </w:numPr>
              <w:ind w:left="0" w:leftChars="0" w:firstLine="0" w:firstLineChars="0"/>
              <w:rPr>
                <w:rFonts w:ascii="宋体" w:hAnsi="宋体" w:eastAsia="宋体" w:cs="宋体"/>
                <w:sz w:val="24"/>
                <w:szCs w:val="24"/>
              </w:rPr>
            </w:pPr>
            <w:r>
              <w:rPr>
                <w:rFonts w:ascii="宋体" w:hAnsi="宋体" w:eastAsia="宋体" w:cs="宋体"/>
                <w:sz w:val="24"/>
                <w:szCs w:val="24"/>
              </w:rPr>
              <w:t xml:space="preserve">违约责任 </w:t>
            </w:r>
          </w:p>
          <w:p>
            <w:pPr>
              <w:numPr>
                <w:ilvl w:val="0"/>
                <w:numId w:val="7"/>
              </w:numPr>
              <w:ind w:leftChars="0"/>
              <w:rPr>
                <w:rFonts w:ascii="宋体" w:hAnsi="宋体" w:eastAsia="宋体" w:cs="宋体"/>
                <w:sz w:val="24"/>
                <w:szCs w:val="24"/>
              </w:rPr>
            </w:pPr>
            <w:r>
              <w:rPr>
                <w:rFonts w:ascii="宋体" w:hAnsi="宋体" w:eastAsia="宋体" w:cs="宋体"/>
                <w:sz w:val="24"/>
                <w:szCs w:val="24"/>
              </w:rPr>
              <w:t xml:space="preserve">若中标人在签订合同并生效后10天内未能配齐符合采购人需求的人员，则视为中标人严重违约，采购人有权解除合同。 </w:t>
            </w:r>
          </w:p>
          <w:p>
            <w:pPr>
              <w:numPr>
                <w:ilvl w:val="0"/>
                <w:numId w:val="7"/>
              </w:numPr>
              <w:ind w:left="0" w:leftChars="0" w:firstLine="0" w:firstLineChars="0"/>
              <w:rPr>
                <w:rFonts w:ascii="宋体" w:hAnsi="宋体" w:eastAsia="宋体" w:cs="宋体"/>
                <w:sz w:val="24"/>
                <w:szCs w:val="24"/>
              </w:rPr>
            </w:pPr>
            <w:r>
              <w:rPr>
                <w:rFonts w:ascii="宋体" w:hAnsi="宋体" w:eastAsia="宋体" w:cs="宋体"/>
                <w:sz w:val="24"/>
                <w:szCs w:val="24"/>
              </w:rPr>
              <w:t>在服务期间中标人因种种原因导致服务外包人员不足的，而中标人在5天内未能及时补齐符合项目要求的服务外包人员时，则视为中标人严重违约，采购人有权解除合同，并有权拒绝支 付因此而产生的项目服务费。</w:t>
            </w:r>
          </w:p>
          <w:p>
            <w:pPr>
              <w:numPr>
                <w:ilvl w:val="0"/>
                <w:numId w:val="7"/>
              </w:numPr>
              <w:ind w:left="0" w:leftChars="0" w:firstLine="0" w:firstLineChars="0"/>
              <w:rPr>
                <w:rFonts w:ascii="宋体" w:hAnsi="宋体" w:eastAsia="宋体" w:cs="宋体"/>
                <w:sz w:val="24"/>
                <w:szCs w:val="24"/>
              </w:rPr>
            </w:pPr>
            <w:r>
              <w:rPr>
                <w:rFonts w:ascii="宋体" w:hAnsi="宋体" w:eastAsia="宋体" w:cs="宋体"/>
                <w:sz w:val="24"/>
                <w:szCs w:val="24"/>
              </w:rPr>
              <w:t>因中标人安排的服务外包人员违反采购人的管理制度、蓄意破坏设备设施、造成重大事故的，一经查实，则视为中标人严重违约，采购人有权解除合同，责令中标人赔偿损失，情节严重的依法追究中标人法律责任。</w:t>
            </w:r>
          </w:p>
          <w:p>
            <w:pPr>
              <w:numPr>
                <w:ilvl w:val="0"/>
                <w:numId w:val="0"/>
              </w:numPr>
              <w:ind w:leftChars="0"/>
              <w:rPr>
                <w:rFonts w:ascii="宋体" w:hAnsi="宋体" w:eastAsia="宋体" w:cs="宋体"/>
                <w:sz w:val="24"/>
                <w:szCs w:val="24"/>
                <w:vertAlign w:val="baseline"/>
              </w:rPr>
            </w:pPr>
            <w:r>
              <w:rPr>
                <w:rFonts w:ascii="宋体" w:hAnsi="宋体" w:eastAsia="宋体" w:cs="宋体"/>
                <w:sz w:val="24"/>
                <w:szCs w:val="24"/>
              </w:rPr>
              <w:t>（四）若中标人在服务某阶段时期内违反其服务承诺或本招标文件的要求2次或以上，则视为中标人违约，采购人有权拒绝支付本期项目服务费。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pPr>
              <w:numPr>
                <w:ilvl w:val="0"/>
                <w:numId w:val="0"/>
              </w:numPr>
              <w:rPr>
                <w:rFonts w:ascii="宋体" w:hAnsi="宋体" w:eastAsia="宋体" w:cs="宋体"/>
                <w:sz w:val="24"/>
                <w:szCs w:val="24"/>
                <w:vertAlign w:val="baseline"/>
              </w:rPr>
            </w:pPr>
          </w:p>
        </w:tc>
        <w:tc>
          <w:tcPr>
            <w:tcW w:w="840" w:type="dxa"/>
          </w:tcPr>
          <w:p>
            <w:pPr>
              <w:numPr>
                <w:ilvl w:val="0"/>
                <w:numId w:val="0"/>
              </w:num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6967" w:type="dxa"/>
          </w:tcPr>
          <w:p>
            <w:pPr>
              <w:numPr>
                <w:ilvl w:val="0"/>
                <w:numId w:val="4"/>
              </w:numPr>
              <w:ind w:left="0" w:leftChars="0" w:firstLine="0" w:firstLineChars="0"/>
              <w:rPr>
                <w:rFonts w:ascii="宋体" w:hAnsi="宋体" w:eastAsia="宋体" w:cs="宋体"/>
                <w:sz w:val="24"/>
                <w:szCs w:val="24"/>
              </w:rPr>
            </w:pPr>
            <w:r>
              <w:rPr>
                <w:rFonts w:ascii="宋体" w:hAnsi="宋体" w:eastAsia="宋体" w:cs="宋体"/>
                <w:sz w:val="24"/>
                <w:szCs w:val="24"/>
              </w:rPr>
              <w:t>付款方式</w:t>
            </w:r>
          </w:p>
          <w:p>
            <w:pPr>
              <w:numPr>
                <w:ilvl w:val="0"/>
                <w:numId w:val="8"/>
              </w:numPr>
              <w:ind w:leftChars="0"/>
              <w:rPr>
                <w:rFonts w:ascii="宋体" w:hAnsi="宋体" w:eastAsia="宋体" w:cs="宋体"/>
                <w:sz w:val="24"/>
                <w:szCs w:val="24"/>
              </w:rPr>
            </w:pPr>
            <w:r>
              <w:rPr>
                <w:rFonts w:ascii="宋体" w:hAnsi="宋体" w:eastAsia="宋体" w:cs="宋体"/>
                <w:sz w:val="24"/>
                <w:szCs w:val="24"/>
              </w:rPr>
              <w:t>服务费按季度结算，采购人按期支付服务费。中标人每季度首月10号前开具正式税务发票原件交采购人，采购人在收到中标人发票的5个工作日内办理支付合同金额的25%。</w:t>
            </w:r>
          </w:p>
          <w:p>
            <w:pPr>
              <w:numPr>
                <w:ilvl w:val="0"/>
                <w:numId w:val="8"/>
              </w:numPr>
              <w:ind w:left="0" w:leftChars="0" w:firstLine="0" w:firstLineChars="0"/>
              <w:rPr>
                <w:rFonts w:hint="eastAsia" w:ascii="宋体" w:hAnsi="宋体" w:eastAsia="宋体" w:cs="宋体"/>
                <w:sz w:val="24"/>
                <w:szCs w:val="24"/>
                <w:lang w:val="en-US" w:eastAsia="zh-CN"/>
              </w:rPr>
            </w:pPr>
            <w:r>
              <w:rPr>
                <w:rFonts w:ascii="宋体" w:hAnsi="宋体" w:eastAsia="宋体" w:cs="宋体"/>
                <w:sz w:val="24"/>
                <w:szCs w:val="24"/>
              </w:rPr>
              <w:t>中标人凭以下资料办理支付手续</w:t>
            </w:r>
            <w:r>
              <w:rPr>
                <w:rFonts w:hint="eastAsia" w:ascii="宋体" w:hAnsi="宋体" w:eastAsia="宋体" w:cs="宋体"/>
                <w:sz w:val="24"/>
                <w:szCs w:val="24"/>
                <w:lang w:val="en-US" w:eastAsia="zh-CN"/>
              </w:rPr>
              <w:t>:</w:t>
            </w:r>
          </w:p>
          <w:p>
            <w:pPr>
              <w:numPr>
                <w:ilvl w:val="0"/>
                <w:numId w:val="0"/>
              </w:numPr>
              <w:ind w:leftChars="0" w:firstLine="720" w:firstLineChars="300"/>
              <w:rPr>
                <w:rFonts w:ascii="宋体" w:hAnsi="宋体" w:eastAsia="宋体" w:cs="宋体"/>
                <w:sz w:val="24"/>
                <w:szCs w:val="24"/>
              </w:rPr>
            </w:pPr>
            <w:r>
              <w:rPr>
                <w:rFonts w:ascii="宋体" w:hAnsi="宋体" w:eastAsia="宋体" w:cs="宋体"/>
                <w:sz w:val="24"/>
                <w:szCs w:val="24"/>
              </w:rPr>
              <w:t>中标通知书；</w:t>
            </w:r>
          </w:p>
          <w:p>
            <w:pPr>
              <w:numPr>
                <w:ilvl w:val="0"/>
                <w:numId w:val="0"/>
              </w:numPr>
              <w:ind w:leftChars="0" w:firstLine="720" w:firstLineChars="300"/>
              <w:rPr>
                <w:rFonts w:ascii="宋体" w:hAnsi="宋体" w:eastAsia="宋体" w:cs="宋体"/>
                <w:sz w:val="24"/>
                <w:szCs w:val="24"/>
              </w:rPr>
            </w:pPr>
            <w:r>
              <w:rPr>
                <w:rFonts w:ascii="宋体" w:hAnsi="宋体" w:eastAsia="宋体" w:cs="宋体"/>
                <w:sz w:val="24"/>
                <w:szCs w:val="24"/>
              </w:rPr>
              <w:t>合同；</w:t>
            </w:r>
          </w:p>
          <w:p>
            <w:pPr>
              <w:numPr>
                <w:ilvl w:val="0"/>
                <w:numId w:val="0"/>
              </w:numPr>
              <w:ind w:leftChars="0" w:firstLine="720" w:firstLineChars="300"/>
              <w:rPr>
                <w:rFonts w:ascii="宋体" w:hAnsi="宋体" w:eastAsia="宋体" w:cs="宋体"/>
                <w:sz w:val="24"/>
                <w:szCs w:val="24"/>
              </w:rPr>
            </w:pPr>
            <w:r>
              <w:rPr>
                <w:rFonts w:ascii="宋体" w:hAnsi="宋体" w:eastAsia="宋体" w:cs="宋体"/>
                <w:sz w:val="24"/>
                <w:szCs w:val="24"/>
              </w:rPr>
              <w:t>中标人开具的正式发票。</w:t>
            </w:r>
          </w:p>
          <w:p>
            <w:pPr>
              <w:numPr>
                <w:ilvl w:val="0"/>
                <w:numId w:val="0"/>
              </w:numPr>
              <w:rPr>
                <w:rFonts w:ascii="宋体" w:hAnsi="宋体" w:eastAsia="宋体" w:cs="宋体"/>
                <w:sz w:val="24"/>
                <w:szCs w:val="24"/>
                <w:vertAlign w:val="baseline"/>
              </w:rPr>
            </w:pPr>
            <w:r>
              <w:rPr>
                <w:rFonts w:ascii="宋体" w:hAnsi="宋体" w:eastAsia="宋体" w:cs="宋体"/>
                <w:sz w:val="24"/>
                <w:szCs w:val="24"/>
              </w:rPr>
              <w:t>（三）因采购人使用的是财政资金，采购人在前款规定的付款时间为向政府采购支付部门提出办理财政支付申请手续的时间（不含政府财政支付部门审核的时间），在规定时间内提出支付申请 手续后即视为采购人不构成逾期付款。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pPr>
              <w:numPr>
                <w:ilvl w:val="0"/>
                <w:numId w:val="0"/>
              </w:numPr>
              <w:rPr>
                <w:rFonts w:ascii="宋体" w:hAnsi="宋体" w:eastAsia="宋体" w:cs="宋体"/>
                <w:sz w:val="24"/>
                <w:szCs w:val="24"/>
                <w:vertAlign w:val="baseline"/>
              </w:rPr>
            </w:pPr>
            <w:r>
              <w:rPr>
                <w:rFonts w:ascii="宋体" w:hAnsi="宋体" w:eastAsia="宋体" w:cs="宋体"/>
                <w:sz w:val="24"/>
                <w:szCs w:val="24"/>
              </w:rPr>
              <w:t>说明</w:t>
            </w:r>
          </w:p>
        </w:tc>
        <w:tc>
          <w:tcPr>
            <w:tcW w:w="7807" w:type="dxa"/>
            <w:gridSpan w:val="2"/>
          </w:tcPr>
          <w:p>
            <w:pPr>
              <w:numPr>
                <w:ilvl w:val="0"/>
                <w:numId w:val="0"/>
              </w:numPr>
              <w:rPr>
                <w:rFonts w:ascii="宋体" w:hAnsi="宋体" w:eastAsia="宋体" w:cs="宋体"/>
                <w:sz w:val="24"/>
                <w:szCs w:val="24"/>
              </w:rPr>
            </w:pPr>
            <w:r>
              <w:rPr>
                <w:rFonts w:ascii="宋体" w:hAnsi="宋体" w:eastAsia="宋体" w:cs="宋体"/>
                <w:sz w:val="24"/>
                <w:szCs w:val="24"/>
              </w:rPr>
              <w:t>打“★”号条款为实质性条款，若有任何一条负偏离或不满足则导致投标（响应）无效。 打“▲”号条款为重要技术参数（如有），若有部分“▲”条款未响应或不满足，将根据评审要求影响其得分，但不作为无效投标（响应）条款。</w:t>
            </w:r>
          </w:p>
        </w:tc>
      </w:tr>
    </w:tbl>
    <w:p>
      <w:pPr>
        <w:numPr>
          <w:ilvl w:val="0"/>
          <w:numId w:val="0"/>
        </w:numPr>
        <w:rPr>
          <w:rFonts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BAF64"/>
    <w:multiLevelType w:val="singleLevel"/>
    <w:tmpl w:val="818BAF64"/>
    <w:lvl w:ilvl="0" w:tentative="0">
      <w:start w:val="4"/>
      <w:numFmt w:val="chineseCounting"/>
      <w:suff w:val="nothing"/>
      <w:lvlText w:val="%1、"/>
      <w:lvlJc w:val="left"/>
      <w:rPr>
        <w:rFonts w:hint="eastAsia"/>
      </w:rPr>
    </w:lvl>
  </w:abstractNum>
  <w:abstractNum w:abstractNumId="1">
    <w:nsid w:val="A9961F6F"/>
    <w:multiLevelType w:val="singleLevel"/>
    <w:tmpl w:val="A9961F6F"/>
    <w:lvl w:ilvl="0" w:tentative="0">
      <w:start w:val="2"/>
      <w:numFmt w:val="decimal"/>
      <w:lvlText w:val="%1."/>
      <w:lvlJc w:val="left"/>
      <w:pPr>
        <w:tabs>
          <w:tab w:val="left" w:pos="312"/>
        </w:tabs>
      </w:pPr>
    </w:lvl>
  </w:abstractNum>
  <w:abstractNum w:abstractNumId="2">
    <w:nsid w:val="AD3548C0"/>
    <w:multiLevelType w:val="singleLevel"/>
    <w:tmpl w:val="AD3548C0"/>
    <w:lvl w:ilvl="0" w:tentative="0">
      <w:start w:val="1"/>
      <w:numFmt w:val="chineseCounting"/>
      <w:suff w:val="nothing"/>
      <w:lvlText w:val="（%1）"/>
      <w:lvlJc w:val="left"/>
      <w:rPr>
        <w:rFonts w:hint="eastAsia"/>
      </w:rPr>
    </w:lvl>
  </w:abstractNum>
  <w:abstractNum w:abstractNumId="3">
    <w:nsid w:val="AFB69269"/>
    <w:multiLevelType w:val="singleLevel"/>
    <w:tmpl w:val="AFB69269"/>
    <w:lvl w:ilvl="0" w:tentative="0">
      <w:start w:val="1"/>
      <w:numFmt w:val="chineseCounting"/>
      <w:suff w:val="nothing"/>
      <w:lvlText w:val="（%1）"/>
      <w:lvlJc w:val="left"/>
      <w:rPr>
        <w:rFonts w:hint="eastAsia"/>
      </w:rPr>
    </w:lvl>
  </w:abstractNum>
  <w:abstractNum w:abstractNumId="4">
    <w:nsid w:val="EDE7C5C8"/>
    <w:multiLevelType w:val="singleLevel"/>
    <w:tmpl w:val="EDE7C5C8"/>
    <w:lvl w:ilvl="0" w:tentative="0">
      <w:start w:val="1"/>
      <w:numFmt w:val="chineseCounting"/>
      <w:suff w:val="nothing"/>
      <w:lvlText w:val="（%1）"/>
      <w:lvlJc w:val="left"/>
      <w:rPr>
        <w:rFonts w:hint="eastAsia"/>
      </w:rPr>
    </w:lvl>
  </w:abstractNum>
  <w:abstractNum w:abstractNumId="5">
    <w:nsid w:val="F10698AC"/>
    <w:multiLevelType w:val="singleLevel"/>
    <w:tmpl w:val="F10698AC"/>
    <w:lvl w:ilvl="0" w:tentative="0">
      <w:start w:val="1"/>
      <w:numFmt w:val="chineseCounting"/>
      <w:suff w:val="nothing"/>
      <w:lvlText w:val="（%1）"/>
      <w:lvlJc w:val="left"/>
      <w:rPr>
        <w:rFonts w:hint="eastAsia"/>
      </w:rPr>
    </w:lvl>
  </w:abstractNum>
  <w:abstractNum w:abstractNumId="6">
    <w:nsid w:val="FFB282E6"/>
    <w:multiLevelType w:val="singleLevel"/>
    <w:tmpl w:val="FFB282E6"/>
    <w:lvl w:ilvl="0" w:tentative="0">
      <w:start w:val="2"/>
      <w:numFmt w:val="chineseCounting"/>
      <w:suff w:val="nothing"/>
      <w:lvlText w:val="%1、"/>
      <w:lvlJc w:val="left"/>
      <w:rPr>
        <w:rFonts w:hint="eastAsia"/>
      </w:rPr>
    </w:lvl>
  </w:abstractNum>
  <w:abstractNum w:abstractNumId="7">
    <w:nsid w:val="261BF640"/>
    <w:multiLevelType w:val="singleLevel"/>
    <w:tmpl w:val="261BF640"/>
    <w:lvl w:ilvl="0" w:tentative="0">
      <w:start w:val="1"/>
      <w:numFmt w:val="chineseCounting"/>
      <w:suff w:val="nothing"/>
      <w:lvlText w:val="（%1）"/>
      <w:lvlJc w:val="left"/>
      <w:rPr>
        <w:rFonts w:hint="eastAsia"/>
      </w:rPr>
    </w:lvl>
  </w:abstractNum>
  <w:num w:numId="1">
    <w:abstractNumId w:val="1"/>
  </w:num>
  <w:num w:numId="2">
    <w:abstractNumId w:val="6"/>
  </w:num>
  <w:num w:numId="3">
    <w:abstractNumId w:val="5"/>
  </w:num>
  <w:num w:numId="4">
    <w:abstractNumId w:val="0"/>
  </w:num>
  <w:num w:numId="5">
    <w:abstractNumId w:val="7"/>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0MDNjMzAwMDIyNmU4MGNlMmE5NTZkYTc4YzRlODAifQ=="/>
  </w:docVars>
  <w:rsids>
    <w:rsidRoot w:val="00000000"/>
    <w:rsid w:val="20891050"/>
    <w:rsid w:val="2DC13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4755</Words>
  <Characters>4838</Characters>
  <Lines>0</Lines>
  <Paragraphs>0</Paragraphs>
  <TotalTime>66</TotalTime>
  <ScaleCrop>false</ScaleCrop>
  <LinksUpToDate>false</LinksUpToDate>
  <CharactersWithSpaces>4893</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2023-04-26T06:13:00Z</dcterms:created>
  <dc:creator>Administrator</dc:creator>
  <cp:lastModifiedBy>Administrator</cp:lastModifiedBy>
  <dcterms:modified xsi:type="dcterms:W3CDTF">2023-04-26T07:45:32Z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5FDC11CA2E61438296FDD3AC6C88BEF7_12</vt:lpwstr>
  </property>
</Properties>
</file>